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08" w:rsidRPr="00432E90" w:rsidRDefault="00D81408" w:rsidP="00432E9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«Качество воды рек</w:t>
      </w:r>
      <w:r w:rsidR="000D5739"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Зеленоградска</w:t>
      </w: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впадающих в Балтийское море»</w:t>
      </w:r>
    </w:p>
    <w:p w:rsidR="00D81408" w:rsidRPr="00432E90" w:rsidRDefault="00D81408" w:rsidP="00432E9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Богачев Кирилл Андреевич, обучающийся 9 «Б» класса МАОУ «СОШ г. Зеленоградска»</w:t>
      </w:r>
      <w:proofErr w:type="gramStart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отделения «Человек и его здоровье» </w:t>
      </w:r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ГАУКОДО КОДЮЦЭКТ</w:t>
      </w:r>
    </w:p>
    <w:p w:rsidR="00D81408" w:rsidRPr="00432E90" w:rsidRDefault="00D81408" w:rsidP="00432E9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Организации: МАОУ «СОШ г. Зеленоградска», ГАУКОДО КОДЮЦЭКТ</w:t>
      </w:r>
    </w:p>
    <w:p w:rsidR="00D81408" w:rsidRPr="00432E90" w:rsidRDefault="00D81408" w:rsidP="00432E9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Руководители: </w:t>
      </w:r>
      <w:proofErr w:type="spellStart"/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Дадашева</w:t>
      </w:r>
      <w:proofErr w:type="spellEnd"/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Екатерина Владимировна, педагог дополнительного образования ГАУКОДО КОДЮЦЭКТ;</w:t>
      </w:r>
      <w:r w:rsidRPr="00432E9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br/>
        <w:t>Малиновская Ольга Александровна, учитель биологии</w:t>
      </w:r>
    </w:p>
    <w:p w:rsidR="005644CE" w:rsidRPr="00432E90" w:rsidRDefault="005644CE" w:rsidP="00432E9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Введение</w:t>
      </w:r>
    </w:p>
    <w:p w:rsidR="005644CE" w:rsidRPr="00432E90" w:rsidRDefault="005F1B8A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связи с всё возрастающим антропогенным загрязнением окружающей среды со всей остротой встает проблема сохранения существующих водных ресурсов и оценки их состояния. К сожалению, в настоящий момент не уделяется должного внимания мониторингу малых рек. Недостаток информации приводит к тому, что развитие и нерациональное размещение хозяйственных объектов может оказать существенное негативное влияние на малые реки, которые,  в свою очередь, могут впадать в Балтийское море.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Загрязнение вод Балтийского моря приводит к уничтожению морской экосистемы и деградации окружающей среды. Это в свою очередь негативно влияет на другие сферы промышленно-хозяйственной деятельности человека, прежде всего на рыболовство и туризм. Высокие суммарные концентрации экзогенного азота и фосфора в водах Балтийского моря вызывают </w:t>
      </w:r>
      <w:proofErr w:type="spellStart"/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эвтрофикацию</w:t>
      </w:r>
      <w:proofErr w:type="spellEnd"/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спонтанный неконтролируемый рост простейших сине-зеленых водорослей</w:t>
      </w:r>
      <w:r w:rsidR="00CC1D5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[1].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Эвтрофикация приводит к поступлению в морскую воду токсинов, выделяемых сине-зелеными водорослями, которые в процессе своего роста потребляют большое количество кислорода, в результате чего в морской воде со временем его становится все меньше. Нехватка кислорода в свою очередь лимитирует рост и развитие других морских организмов, что уничтожает пищевые ресурсы для развития зоопланктона и рыб</w:t>
      </w:r>
      <w:r w:rsidR="00CC1D5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виду актуальности</w:t>
      </w:r>
      <w:r w:rsidR="001315C8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значимости 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проблемы, было принято решение изучить качество воды в </w:t>
      </w:r>
      <w:r w:rsidR="00876E5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некоторых реках зеленоградского городского округа, впадающих в Балтийское море. </w:t>
      </w:r>
    </w:p>
    <w:p w:rsidR="00876E51" w:rsidRPr="00432E90" w:rsidRDefault="00876E51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определение качества воды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Тростянка</w:t>
      </w:r>
      <w:r w:rsidR="00972C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Медвежья</w:t>
      </w:r>
    </w:p>
    <w:p w:rsidR="00876E51" w:rsidRPr="00432E90" w:rsidRDefault="00876E51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данной цели были поставлены следующие задачи:</w:t>
      </w:r>
    </w:p>
    <w:p w:rsidR="00876E51" w:rsidRPr="00432E90" w:rsidRDefault="00876E51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Провести химический анализ воды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Тростянка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Медвежья</w:t>
      </w:r>
    </w:p>
    <w:p w:rsidR="001D45E7" w:rsidRPr="00432E90" w:rsidRDefault="00876E51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72C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анализ воды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Тростянка</w:t>
      </w:r>
      <w:r w:rsidR="00972C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Медвежья</w:t>
      </w:r>
      <w:r w:rsidR="00972C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биоиндикации</w:t>
      </w:r>
      <w:r w:rsidR="00A6533F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45E7" w:rsidRPr="00432E90" w:rsidRDefault="003A41B3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Методы и объекты исследования</w:t>
      </w:r>
    </w:p>
    <w:p w:rsidR="003A41B3" w:rsidRPr="00432E90" w:rsidRDefault="003A41B3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изучения были взяты пробы воды рек зеленоградского городского округа, впадающие в Балтийское море – р. Тростянка и р. Медвежья. Исследование проводилось с января  по ноябрь 2017 года.</w:t>
      </w:r>
      <w:r w:rsidR="005C799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46BD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сбора проб отмечены на карте (Приложение 1, рис.1.) </w:t>
      </w:r>
      <w:r w:rsidR="005C799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Тростянка </w:t>
      </w:r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берет свое начало в </w:t>
      </w:r>
      <w:proofErr w:type="spellStart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Куршском</w:t>
      </w:r>
      <w:proofErr w:type="spellEnd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заливе, </w:t>
      </w:r>
      <w:r w:rsidR="005C799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протекает через г.</w:t>
      </w:r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799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Зеленоградск</w:t>
      </w:r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впадает в р. Медвежья в районе </w:t>
      </w:r>
      <w:proofErr w:type="spellStart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рибой</w:t>
      </w:r>
      <w:proofErr w:type="spellEnd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Река Медвежья протекает через поселки: Коврово, Сокольники, Каменка и впадает в Балтийское море (приложение 1, рис.1-2). Эта река относится к водоемам первой категории </w:t>
      </w:r>
      <w:proofErr w:type="spellStart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рыбохозяйственной</w:t>
      </w:r>
      <w:proofErr w:type="spellEnd"/>
      <w:r w:rsidR="00EA02D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</w:t>
      </w:r>
    </w:p>
    <w:p w:rsidR="00A80E02" w:rsidRPr="00432E90" w:rsidRDefault="00A80E02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Особенностью хозяйственного использования рек является </w:t>
      </w:r>
      <w:r w:rsidR="0067493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расположенные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них населенные пункты. В связи с избыточным переувлажнением почв большая часть сельскохозяйственных угодий дренирована. Указанные обстоятельства свидетельствуют о большой антропогенной нагрузке на водосбор и значительном поступлении загрязняющих веществ в речную сеть от рассредоточенных источников </w:t>
      </w:r>
    </w:p>
    <w:p w:rsidR="00EA02D0" w:rsidRPr="00432E90" w:rsidRDefault="00EA02D0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вычисления количественного содержания </w:t>
      </w:r>
      <w:r w:rsidR="0033666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</w:t>
      </w:r>
      <w:r w:rsidR="0033666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аммония</w:t>
      </w:r>
      <w:r w:rsidR="0033666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нефти,  нитратов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="0033666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л применен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колориметрический методы тест-системы ЗАО «</w:t>
      </w:r>
      <w:proofErr w:type="spellStart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Крисмас</w:t>
      </w:r>
      <w:proofErr w:type="spellEnd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+».</w:t>
      </w:r>
    </w:p>
    <w:p w:rsidR="00336663" w:rsidRPr="00432E90" w:rsidRDefault="00336663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определения:</w:t>
      </w:r>
    </w:p>
    <w:p w:rsidR="00336663" w:rsidRPr="00432E90" w:rsidRDefault="00E82A13" w:rsidP="00432E90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432E90">
        <w:rPr>
          <w:sz w:val="28"/>
          <w:szCs w:val="28"/>
        </w:rPr>
        <w:t>Общее ж</w:t>
      </w:r>
      <w:r w:rsidR="00336663" w:rsidRPr="00432E90">
        <w:rPr>
          <w:sz w:val="28"/>
          <w:szCs w:val="28"/>
        </w:rPr>
        <w:t xml:space="preserve">елеза: колориметрический метод основан на способности катиона железа </w:t>
      </w:r>
      <w:r w:rsidR="00336663" w:rsidRPr="00432E90">
        <w:rPr>
          <w:sz w:val="28"/>
          <w:szCs w:val="28"/>
          <w:lang w:val="en-US"/>
        </w:rPr>
        <w:t>II</w:t>
      </w:r>
      <w:r w:rsidR="00336663" w:rsidRPr="00432E90">
        <w:rPr>
          <w:sz w:val="28"/>
          <w:szCs w:val="28"/>
        </w:rPr>
        <w:t xml:space="preserve"> в интервале рН 3-9 </w:t>
      </w:r>
      <w:proofErr w:type="gramStart"/>
      <w:r w:rsidR="00336663" w:rsidRPr="00432E90">
        <w:rPr>
          <w:sz w:val="28"/>
          <w:szCs w:val="28"/>
        </w:rPr>
        <w:t>образовывать</w:t>
      </w:r>
      <w:proofErr w:type="gramEnd"/>
      <w:r w:rsidR="00336663" w:rsidRPr="00432E90">
        <w:rPr>
          <w:sz w:val="28"/>
          <w:szCs w:val="28"/>
        </w:rPr>
        <w:t xml:space="preserve"> </w:t>
      </w:r>
      <w:proofErr w:type="spellStart"/>
      <w:r w:rsidR="00336663" w:rsidRPr="00432E90">
        <w:rPr>
          <w:sz w:val="28"/>
          <w:szCs w:val="28"/>
        </w:rPr>
        <w:t>орто-фенантролином</w:t>
      </w:r>
      <w:proofErr w:type="spellEnd"/>
      <w:r w:rsidR="00336663" w:rsidRPr="00432E90">
        <w:rPr>
          <w:sz w:val="28"/>
          <w:szCs w:val="28"/>
        </w:rPr>
        <w:t xml:space="preserve"> комплексное оранжево-красное соединение. При наличии в воде железа </w:t>
      </w:r>
      <w:r w:rsidR="00336663" w:rsidRPr="00432E90">
        <w:rPr>
          <w:sz w:val="28"/>
          <w:szCs w:val="28"/>
          <w:lang w:val="en-US"/>
        </w:rPr>
        <w:t>III</w:t>
      </w:r>
      <w:r w:rsidR="00336663" w:rsidRPr="00432E90">
        <w:rPr>
          <w:sz w:val="28"/>
          <w:szCs w:val="28"/>
        </w:rPr>
        <w:t xml:space="preserve"> оно восстанавливается </w:t>
      </w:r>
      <w:proofErr w:type="gramStart"/>
      <w:r w:rsidR="00336663" w:rsidRPr="00432E90">
        <w:rPr>
          <w:sz w:val="28"/>
          <w:szCs w:val="28"/>
        </w:rPr>
        <w:t>солянокислым</w:t>
      </w:r>
      <w:proofErr w:type="gramEnd"/>
      <w:r w:rsidR="00336663" w:rsidRPr="00432E90">
        <w:rPr>
          <w:sz w:val="28"/>
          <w:szCs w:val="28"/>
        </w:rPr>
        <w:t xml:space="preserve"> </w:t>
      </w:r>
      <w:proofErr w:type="spellStart"/>
      <w:r w:rsidR="00336663" w:rsidRPr="00432E90">
        <w:rPr>
          <w:sz w:val="28"/>
          <w:szCs w:val="28"/>
        </w:rPr>
        <w:t>гидроксиламином</w:t>
      </w:r>
      <w:proofErr w:type="spellEnd"/>
      <w:r w:rsidR="00336663" w:rsidRPr="00432E90">
        <w:rPr>
          <w:sz w:val="28"/>
          <w:szCs w:val="28"/>
        </w:rPr>
        <w:t xml:space="preserve"> до железа </w:t>
      </w:r>
      <w:r w:rsidR="00336663" w:rsidRPr="00432E90">
        <w:rPr>
          <w:sz w:val="28"/>
          <w:szCs w:val="28"/>
          <w:lang w:val="en-US"/>
        </w:rPr>
        <w:t>II</w:t>
      </w:r>
      <w:r w:rsidR="00336663" w:rsidRPr="00432E90">
        <w:rPr>
          <w:sz w:val="28"/>
          <w:szCs w:val="28"/>
        </w:rPr>
        <w:t xml:space="preserve"> в </w:t>
      </w:r>
      <w:r w:rsidR="00336663" w:rsidRPr="00432E90">
        <w:rPr>
          <w:sz w:val="28"/>
          <w:szCs w:val="28"/>
        </w:rPr>
        <w:lastRenderedPageBreak/>
        <w:t xml:space="preserve">ацетатном буферном растворе при рН 4,5-4,7. Таким образом, в пробе определяется </w:t>
      </w:r>
      <w:proofErr w:type="gramStart"/>
      <w:r w:rsidR="00336663" w:rsidRPr="00432E90">
        <w:rPr>
          <w:sz w:val="28"/>
          <w:szCs w:val="28"/>
        </w:rPr>
        <w:t>суммарное</w:t>
      </w:r>
      <w:proofErr w:type="gramEnd"/>
      <w:r w:rsidR="00336663" w:rsidRPr="00432E90">
        <w:rPr>
          <w:sz w:val="28"/>
          <w:szCs w:val="28"/>
        </w:rPr>
        <w:t xml:space="preserve"> содержания железа </w:t>
      </w:r>
      <w:r w:rsidR="00336663" w:rsidRPr="00432E90">
        <w:rPr>
          <w:sz w:val="28"/>
          <w:szCs w:val="28"/>
          <w:lang w:val="en-US"/>
        </w:rPr>
        <w:t>II</w:t>
      </w:r>
      <w:r w:rsidR="00336663" w:rsidRPr="00432E90">
        <w:rPr>
          <w:sz w:val="28"/>
          <w:szCs w:val="28"/>
        </w:rPr>
        <w:t xml:space="preserve">  и железа </w:t>
      </w:r>
      <w:r w:rsidR="00336663" w:rsidRPr="00432E90">
        <w:rPr>
          <w:sz w:val="28"/>
          <w:szCs w:val="28"/>
          <w:lang w:val="en-US"/>
        </w:rPr>
        <w:t>III</w:t>
      </w:r>
      <w:r w:rsidR="00336663" w:rsidRPr="00432E90">
        <w:rPr>
          <w:sz w:val="28"/>
          <w:szCs w:val="28"/>
        </w:rPr>
        <w:t xml:space="preserve">. </w:t>
      </w:r>
    </w:p>
    <w:p w:rsidR="00336663" w:rsidRPr="00432E90" w:rsidRDefault="00336663" w:rsidP="00432E90">
      <w:pPr>
        <w:pStyle w:val="a6"/>
        <w:numPr>
          <w:ilvl w:val="0"/>
          <w:numId w:val="1"/>
        </w:numPr>
        <w:spacing w:after="0" w:afterAutospacing="0" w:line="360" w:lineRule="auto"/>
        <w:ind w:left="284" w:hanging="284"/>
        <w:jc w:val="both"/>
        <w:rPr>
          <w:sz w:val="28"/>
          <w:szCs w:val="28"/>
        </w:rPr>
      </w:pPr>
      <w:r w:rsidRPr="00432E90">
        <w:rPr>
          <w:sz w:val="28"/>
          <w:szCs w:val="28"/>
        </w:rPr>
        <w:t>Нитратов: визуально-колориметрический метод основан на предварительном восстановлении</w:t>
      </w:r>
      <w:r w:rsidR="00DE3DD7" w:rsidRPr="00432E90">
        <w:rPr>
          <w:sz w:val="28"/>
          <w:szCs w:val="28"/>
        </w:rPr>
        <w:t xml:space="preserve"> </w:t>
      </w:r>
      <w:proofErr w:type="gramStart"/>
      <w:r w:rsidR="00DE3DD7" w:rsidRPr="00432E90">
        <w:rPr>
          <w:sz w:val="28"/>
          <w:szCs w:val="28"/>
        </w:rPr>
        <w:t>нитрат-иона</w:t>
      </w:r>
      <w:proofErr w:type="gramEnd"/>
      <w:r w:rsidR="00DE3DD7" w:rsidRPr="00432E90">
        <w:rPr>
          <w:sz w:val="28"/>
          <w:szCs w:val="28"/>
        </w:rPr>
        <w:t xml:space="preserve"> до нитрит-иона с последующим образованием азоткрасителя  в результате реакции  нитрит-иона с реактивом </w:t>
      </w:r>
      <w:proofErr w:type="spellStart"/>
      <w:r w:rsidR="00DE3DD7" w:rsidRPr="00432E90">
        <w:rPr>
          <w:sz w:val="28"/>
          <w:szCs w:val="28"/>
        </w:rPr>
        <w:t>Грисса</w:t>
      </w:r>
      <w:proofErr w:type="spellEnd"/>
      <w:r w:rsidR="00DE3DD7" w:rsidRPr="00432E90">
        <w:rPr>
          <w:sz w:val="28"/>
          <w:szCs w:val="28"/>
        </w:rPr>
        <w:t>.</w:t>
      </w:r>
    </w:p>
    <w:p w:rsidR="00BA78E8" w:rsidRPr="00432E90" w:rsidRDefault="00BA78E8" w:rsidP="00432E90">
      <w:pPr>
        <w:pStyle w:val="a6"/>
        <w:numPr>
          <w:ilvl w:val="0"/>
          <w:numId w:val="1"/>
        </w:numPr>
        <w:spacing w:after="0" w:afterAutospacing="0" w:line="360" w:lineRule="auto"/>
        <w:ind w:left="284" w:hanging="284"/>
        <w:jc w:val="both"/>
        <w:rPr>
          <w:sz w:val="28"/>
          <w:szCs w:val="28"/>
        </w:rPr>
      </w:pPr>
      <w:r w:rsidRPr="00432E90">
        <w:rPr>
          <w:sz w:val="28"/>
          <w:szCs w:val="28"/>
        </w:rPr>
        <w:t xml:space="preserve">Аммония: колориметрический метод основан на </w:t>
      </w:r>
      <w:proofErr w:type="spellStart"/>
      <w:r w:rsidRPr="00432E90">
        <w:rPr>
          <w:sz w:val="28"/>
          <w:szCs w:val="28"/>
        </w:rPr>
        <w:t>рекции</w:t>
      </w:r>
      <w:proofErr w:type="spellEnd"/>
      <w:r w:rsidRPr="00432E90">
        <w:rPr>
          <w:sz w:val="28"/>
          <w:szCs w:val="28"/>
        </w:rPr>
        <w:t xml:space="preserve"> иона аммония с реактивом </w:t>
      </w:r>
      <w:proofErr w:type="spellStart"/>
      <w:r w:rsidRPr="00432E90">
        <w:rPr>
          <w:sz w:val="28"/>
          <w:szCs w:val="28"/>
        </w:rPr>
        <w:t>Несслера</w:t>
      </w:r>
      <w:proofErr w:type="spellEnd"/>
      <w:r w:rsidRPr="00432E90">
        <w:rPr>
          <w:sz w:val="28"/>
          <w:szCs w:val="28"/>
        </w:rPr>
        <w:t xml:space="preserve"> с образованием окрашенного в щелочной среде</w:t>
      </w:r>
      <w:r w:rsidR="00E82A13" w:rsidRPr="00432E90">
        <w:rPr>
          <w:sz w:val="28"/>
          <w:szCs w:val="28"/>
        </w:rPr>
        <w:t xml:space="preserve"> в желтый цвет соединения. Мешающее влияние железа устраняют добавлением к пробе сегнетовой соли. </w:t>
      </w:r>
    </w:p>
    <w:p w:rsidR="00611A0C" w:rsidRPr="00432E90" w:rsidRDefault="00611A0C" w:rsidP="00432E90">
      <w:pPr>
        <w:pStyle w:val="a6"/>
        <w:numPr>
          <w:ilvl w:val="0"/>
          <w:numId w:val="1"/>
        </w:numPr>
        <w:spacing w:after="0" w:afterAutospacing="0" w:line="360" w:lineRule="auto"/>
        <w:ind w:left="284" w:hanging="284"/>
        <w:jc w:val="both"/>
        <w:rPr>
          <w:sz w:val="28"/>
          <w:szCs w:val="28"/>
        </w:rPr>
      </w:pPr>
      <w:r w:rsidRPr="00432E90">
        <w:rPr>
          <w:sz w:val="28"/>
          <w:szCs w:val="28"/>
        </w:rPr>
        <w:t>Нефти: метод определения масла и нефтепродуктов основан на их предварительной концентрации путем экстрагирования из водной среды неполярным растворителе</w:t>
      </w:r>
      <w:proofErr w:type="gramStart"/>
      <w:r w:rsidRPr="00432E90">
        <w:rPr>
          <w:sz w:val="28"/>
          <w:szCs w:val="28"/>
        </w:rPr>
        <w:t>м-</w:t>
      </w:r>
      <w:proofErr w:type="gramEnd"/>
      <w:r w:rsidRPr="00432E90">
        <w:rPr>
          <w:sz w:val="28"/>
          <w:szCs w:val="28"/>
        </w:rPr>
        <w:t xml:space="preserve"> четыреххлористым углеродом (ЧХУ) при рН 3-4 с последующим анализом экстракта. Анализ экстракта выполняется полуколичественным методом бумажной хроматографии, который основан на использовании </w:t>
      </w:r>
      <w:proofErr w:type="gramStart"/>
      <w:r w:rsidRPr="00432E90">
        <w:rPr>
          <w:sz w:val="28"/>
          <w:szCs w:val="28"/>
        </w:rPr>
        <w:t>различия коэффициентов распределения компонентов анализируемого раствора</w:t>
      </w:r>
      <w:proofErr w:type="gramEnd"/>
      <w:r w:rsidRPr="00432E90">
        <w:rPr>
          <w:sz w:val="28"/>
          <w:szCs w:val="28"/>
        </w:rPr>
        <w:t xml:space="preserve">. Различные величины коэффициентов распределения обеспечивают разделение смеси. </w:t>
      </w:r>
    </w:p>
    <w:p w:rsidR="00EA02D0" w:rsidRPr="00432E90" w:rsidRDefault="00E277B7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82A1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водородного показателя применен колориметрический метод системы </w:t>
      </w:r>
      <w:proofErr w:type="spellStart"/>
      <w:r w:rsidR="00E82A1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Visocolor</w:t>
      </w:r>
      <w:proofErr w:type="spellEnd"/>
      <w:r w:rsidR="00E82A1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ECO - </w:t>
      </w:r>
      <w:proofErr w:type="spellStart"/>
      <w:r w:rsidR="00E82A1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Macherey-Nagel</w:t>
      </w:r>
      <w:proofErr w:type="spellEnd"/>
      <w:r w:rsidR="00E82A1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Колориметрический метод основан на реакции водородных ионов с универсальным индикатором в водной среде.</w:t>
      </w:r>
    </w:p>
    <w:p w:rsidR="00070065" w:rsidRPr="00432E90" w:rsidRDefault="00070065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изучения загрязненности речной воды были применены биологические методы оценки: индекс Майера и </w:t>
      </w:r>
      <w:proofErr w:type="spellStart"/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макроиндекс</w:t>
      </w:r>
      <w:proofErr w:type="spellEnd"/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0EE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0DC" w:rsidRPr="00432E90" w:rsidRDefault="00070065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Индекс Майера</w:t>
      </w:r>
      <w:r w:rsidR="00D85356" w:rsidRPr="00432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методика подходит для любых типов водоемов. Метод основан на том, что различные группы водных беспозвоночных приурочены к водоемам с определенной степенью загрязненности. При этом организмы – индикаторы от</w:t>
      </w:r>
      <w:r w:rsidR="005F1B8A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носят к одному из трех разделов (таблица 1)</w:t>
      </w:r>
    </w:p>
    <w:p w:rsidR="00B87F2D" w:rsidRPr="00432E90" w:rsidRDefault="00B87F2D" w:rsidP="00432E9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533F" w:rsidRPr="00432E90" w:rsidRDefault="00A6533F" w:rsidP="00432E9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F1B8A" w:rsidRPr="00432E90" w:rsidRDefault="005F1B8A" w:rsidP="00432E9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Таблица 1 </w:t>
      </w:r>
    </w:p>
    <w:p w:rsidR="00070065" w:rsidRPr="00432E90" w:rsidRDefault="00C32033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Индикаторные группы по и</w:t>
      </w:r>
      <w:r w:rsidR="00070065" w:rsidRPr="00432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ндекс Майера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4"/>
        <w:gridCol w:w="3665"/>
        <w:gridCol w:w="3332"/>
      </w:tblGrid>
      <w:tr w:rsidR="00070065" w:rsidRPr="00432E90" w:rsidTr="005F1B8A">
        <w:tc>
          <w:tcPr>
            <w:tcW w:w="0" w:type="auto"/>
            <w:hideMark/>
          </w:tcPr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Обитатели чистых вод, X</w:t>
            </w:r>
          </w:p>
        </w:tc>
        <w:tc>
          <w:tcPr>
            <w:tcW w:w="0" w:type="auto"/>
            <w:hideMark/>
          </w:tcPr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Организмы средней чувствительности, Y</w:t>
            </w:r>
          </w:p>
        </w:tc>
        <w:tc>
          <w:tcPr>
            <w:tcW w:w="0" w:type="auto"/>
            <w:hideMark/>
          </w:tcPr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Обитатели загрязненных водоемов, Z</w:t>
            </w:r>
          </w:p>
        </w:tc>
      </w:tr>
      <w:tr w:rsidR="00070065" w:rsidRPr="00432E90" w:rsidTr="005F1B8A">
        <w:tc>
          <w:tcPr>
            <w:tcW w:w="0" w:type="auto"/>
            <w:hideMark/>
          </w:tcPr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веснянок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поденок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ручейников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Личинки </w:t>
            </w:r>
            <w:proofErr w:type="spellStart"/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вислокрылок</w:t>
            </w:r>
            <w:proofErr w:type="spellEnd"/>
          </w:p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Двустворчатые моллюски</w:t>
            </w:r>
          </w:p>
        </w:tc>
        <w:tc>
          <w:tcPr>
            <w:tcW w:w="0" w:type="auto"/>
            <w:hideMark/>
          </w:tcPr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Бокоплав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Речной рак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стрекоз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комаров – долгоножек</w:t>
            </w:r>
          </w:p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Моллюски-катушки, моллюски-живородки</w:t>
            </w:r>
          </w:p>
        </w:tc>
        <w:tc>
          <w:tcPr>
            <w:tcW w:w="0" w:type="auto"/>
            <w:hideMark/>
          </w:tcPr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комаров-звонцов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Пиявки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Водяной ослик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Прудовики</w:t>
            </w:r>
          </w:p>
          <w:p w:rsidR="00070065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мошки</w:t>
            </w:r>
          </w:p>
          <w:p w:rsidR="00F07AE1" w:rsidRPr="00432E90" w:rsidRDefault="00070065" w:rsidP="00432E9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2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Малощетинковые черви</w:t>
            </w:r>
          </w:p>
        </w:tc>
      </w:tr>
    </w:tbl>
    <w:p w:rsidR="00D81408" w:rsidRPr="00432E90" w:rsidRDefault="00D81408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65" w:rsidRPr="00432E90" w:rsidRDefault="00070065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отметить, какие из приведенных в таблице групп обнаружены в пробах. Количество найденных групп из первого раздела необходимо умножить на 3, количество групп из второго раздела – на 2, а из третьего раздела – на 1.</w:t>
      </w:r>
      <w:r w:rsidR="00D8535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Получившиеся цифры складывают.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значению суммы S (в баллах) оценивают степень загрязненности водоема: более 22 баллов – водоем чистый и имеет 1 класс качества; 17-21 баллов – 2 класс качества; 11-16 баллов – умеренная загрязненность, 3 класс качества; менее 11 – водоем грязный, 4-7 класс качества.</w:t>
      </w:r>
    </w:p>
    <w:p w:rsidR="00D85356" w:rsidRPr="00432E90" w:rsidRDefault="00D85356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 </w:t>
      </w:r>
      <w:proofErr w:type="spellStart"/>
      <w:r w:rsidRPr="00432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макроиндексации</w:t>
      </w:r>
      <w:proofErr w:type="spellEnd"/>
      <w:r w:rsidRPr="00432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F1B8A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A6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метода положена закономерность упрощения таксономической структуры биоценоза по мере повышения уровня загрязнения вод одновременно со снижением общего разнообразия организмов, объединенных в группы</w:t>
      </w:r>
      <w:proofErr w:type="gramStart"/>
      <w:r w:rsidR="0018221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A6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62A6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выше показатель </w:t>
      </w:r>
      <w:proofErr w:type="spellStart"/>
      <w:r w:rsidR="00662A6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макроиндекса</w:t>
      </w:r>
      <w:proofErr w:type="spellEnd"/>
      <w:r w:rsidR="00662A61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 относительно чище вода. Показатель МИ является относительным показателем и изменяется от 0 (очень грязная вода) до 10 (очень чистая вода).</w:t>
      </w:r>
    </w:p>
    <w:p w:rsidR="005644CE" w:rsidRPr="00432E90" w:rsidRDefault="001D45E7" w:rsidP="00432E9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Результаты и их обсуждение</w:t>
      </w:r>
    </w:p>
    <w:p w:rsidR="001D45E7" w:rsidRPr="00432E90" w:rsidRDefault="00285A38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A41B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</w:t>
      </w:r>
      <w:r w:rsidR="00C320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делялось </w:t>
      </w:r>
      <w:proofErr w:type="gramStart"/>
      <w:r w:rsidR="00C320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количественное</w:t>
      </w:r>
      <w:proofErr w:type="gramEnd"/>
      <w:r w:rsidR="00C32033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железа,  аммония, нефти,  нитратов, а также водородный показатель воды </w:t>
      </w:r>
      <w:r w:rsidR="006201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р. Тростянка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201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 w:rsidR="006201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Медвежья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139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Опыты были проведены в трех повторностях.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представлены на рис.</w:t>
      </w:r>
      <w:r w:rsidR="003A70BD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201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 (приложение 2,  таблица 3).</w:t>
      </w:r>
    </w:p>
    <w:p w:rsidR="001D45E7" w:rsidRPr="00432E90" w:rsidRDefault="001D45E7" w:rsidP="00432E9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4B984" wp14:editId="298DCC14">
            <wp:extent cx="5248275" cy="22479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45E7" w:rsidRPr="00432E90" w:rsidRDefault="003A70BD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</w:t>
      </w:r>
      <w:r w:rsidR="00285A38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Количественное содержание химических веществ</w:t>
      </w:r>
    </w:p>
    <w:p w:rsidR="003041E9" w:rsidRPr="00432E90" w:rsidRDefault="00620116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F7F2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рисунку видно,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EF7F2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минимум концентрации</w:t>
      </w:r>
      <w:r w:rsidR="00EF7F2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нитратов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на воду р. Тростянка -</w:t>
      </w:r>
      <w:r w:rsidR="0051139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2,3 мг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/л. Данные показатели не превышает норму- 45 мг/л. Однако стоит отметить, что количество нитратов в р. Медвежья в несколько раз превышает показатели р. Тростянка и приближено </w:t>
      </w:r>
      <w:proofErr w:type="gramStart"/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</w:t>
      </w:r>
      <w:proofErr w:type="gramEnd"/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 допустимой к</w:t>
      </w:r>
      <w:r w:rsidR="003A70BD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онцентрации (Приложение 3, рис.4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 Можно предположить, </w:t>
      </w:r>
      <w:r w:rsidR="00732ABA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340DC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полученная концентрация нитратов обусловлена близким расположением пред</w:t>
      </w:r>
      <w:r w:rsidR="00732ABA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 по производству ковров, а также автомагистрали. </w:t>
      </w:r>
      <w:r w:rsidR="00891D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Количественное содержание аммония в р. Тростянка и р. Медвежья равно 0,9 мг/л и 0,5 мг/л соответственно, </w:t>
      </w:r>
      <w:r w:rsidR="00732ABA" w:rsidRPr="00432E90">
        <w:rPr>
          <w:rFonts w:ascii="Times New Roman" w:hAnsi="Times New Roman" w:cs="Times New Roman"/>
          <w:sz w:val="28"/>
          <w:szCs w:val="28"/>
        </w:rPr>
        <w:t xml:space="preserve">что находится в пределах норматива качества </w:t>
      </w:r>
      <w:r w:rsidR="003A70BD" w:rsidRPr="00432E90">
        <w:rPr>
          <w:rFonts w:ascii="Times New Roman" w:hAnsi="Times New Roman" w:cs="Times New Roman"/>
          <w:sz w:val="28"/>
          <w:szCs w:val="28"/>
        </w:rPr>
        <w:t>(2,5 мг/л) (Приложение 3, рис.5-6</w:t>
      </w:r>
      <w:r w:rsidR="005351F5" w:rsidRPr="00432E90">
        <w:rPr>
          <w:rFonts w:ascii="Times New Roman" w:hAnsi="Times New Roman" w:cs="Times New Roman"/>
          <w:sz w:val="28"/>
          <w:szCs w:val="28"/>
        </w:rPr>
        <w:t>).</w:t>
      </w:r>
      <w:r w:rsidR="0018221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1D16" w:rsidRPr="00432E90">
        <w:rPr>
          <w:rFonts w:ascii="Times New Roman" w:hAnsi="Times New Roman" w:cs="Times New Roman"/>
          <w:sz w:val="28"/>
          <w:szCs w:val="28"/>
        </w:rPr>
        <w:t xml:space="preserve">Количественное содержание общего железа в </w:t>
      </w:r>
      <w:r w:rsidR="00891D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Тростянка и р. Медвежья равно 0,2 мг/л и 0,12 мг/л соответственно, что также не превышает предельно </w:t>
      </w:r>
      <w:proofErr w:type="gramStart"/>
      <w:r w:rsidR="00891D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допустимую</w:t>
      </w:r>
      <w:proofErr w:type="gramEnd"/>
      <w:r w:rsidR="00891D1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концентрацию-0,3 мг/л. Однако, стоит отметить, что р. Тростянка содержит в себе железо, показатель которого почти в 17 раз превышает показатель р. Медвежья. </w:t>
      </w:r>
      <w:r w:rsidR="0018221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4990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нефти в исследуемых объектах установлено не было, либо же оно находится в минимальном количестве, установить которое невозможно применяемым методом.</w:t>
      </w:r>
      <w:r w:rsidR="0018221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3D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диаграмме видно, что водородный показатель воды р. Тростянка ниже, чем рН воды р. Медвежья и равен 6, что </w:t>
      </w:r>
      <w:r w:rsidR="00BF73D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указывает на слабокислую водную среду. В сво</w:t>
      </w:r>
      <w:r w:rsidR="00D340E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очередь, </w:t>
      </w:r>
      <w:proofErr w:type="spellStart"/>
      <w:r w:rsidR="00D340E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Start"/>
      <w:r w:rsidR="00D340E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D340E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едвежья</w:t>
      </w:r>
      <w:proofErr w:type="spellEnd"/>
      <w:r w:rsidR="00D340E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рН 7.</w:t>
      </w:r>
      <w:r w:rsidR="00BF73D6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5, что является нормой.</w:t>
      </w:r>
    </w:p>
    <w:p w:rsidR="004E5839" w:rsidRPr="00432E90" w:rsidRDefault="00790140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Определялся уровень загрязнённости рек Тростянка и Медвежья методом биоиндикации. </w:t>
      </w:r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роизведен забор проб воды р. </w:t>
      </w:r>
      <w:proofErr w:type="gramStart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Медвежья</w:t>
      </w:r>
      <w:proofErr w:type="gramEnd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трех точках. Были обнаружены личинки ручейников, двустворчатые моллюски, бокоплав, моллюски-катушки, личинки комаров-звонцов</w:t>
      </w:r>
      <w:r w:rsidR="00E64DC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личинки жуков, пиявки, планария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</w:t>
      </w:r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077B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="003A70BD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ослики (приложение 3, рис. 7-10</w:t>
      </w:r>
      <w:r w:rsidR="008077B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Биотический индекс в точки № 1 равен 5, что соответствует среднему загрязнению</w:t>
      </w:r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свою очередь, значение индекса Майера-12, </w:t>
      </w:r>
      <w:proofErr w:type="spellStart"/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spellEnd"/>
      <w:proofErr w:type="gramEnd"/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класс качества-водоем умеренно загрязненный. В точках № 2 и № 3 </w:t>
      </w:r>
      <w:proofErr w:type="spellStart"/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макроиндекс</w:t>
      </w:r>
      <w:proofErr w:type="spellEnd"/>
      <w:r w:rsidR="00F5129B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равен 4-довольно сильное загрязнение воды, индекс Майера показал 4 класс качества воды, что характеризует водоем как грязный.</w:t>
      </w:r>
      <w:r w:rsidR="003D696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34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предположить, что на качество воды в реке влияет близко расположенное  предприятие по производству ковров, которое не раз было оштрафовано за  выброс промышленных отходов</w:t>
      </w:r>
      <w:r w:rsidR="003D696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водоем</w:t>
      </w:r>
      <w:r w:rsidR="005F034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3D696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организацию </w:t>
      </w:r>
      <w:r w:rsidR="005F034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несанкционированной</w:t>
      </w:r>
      <w:r w:rsidR="003D696E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свалки.</w:t>
      </w:r>
      <w:r w:rsidR="005F034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21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34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произведен забор воды р. Тростянка в двух точках. Из-за сильного разлива реки добраться до третьей точки не представлялось возможности.</w:t>
      </w:r>
      <w:r w:rsidR="00E64DC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имеющимся данным удалось определить такие индикаторные виды как моллюски-катушки, личинки комаров-звонцов, личинки мошки, пиявки, водяные ослики, бокоплавы и клопы. В точках №1 №2 индекс Майера равен 7 и 5 соответственно, что указывает на 4 класс качества </w:t>
      </w:r>
      <w:proofErr w:type="gramStart"/>
      <w:r w:rsidR="00E64DC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воды-грязный</w:t>
      </w:r>
      <w:proofErr w:type="gramEnd"/>
      <w:r w:rsidR="00E64DC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водоем. Биотический индекс в данных точках равен 4 и 3 соответственно, что говорит о довольно сильном загрязнении в точке № 1 и сильном загрязнении в точке № 2. Можно предположить, что данные результаты указывают на сильную антропогенную нагрузку, так как р. </w:t>
      </w:r>
      <w:r w:rsidR="006A6F27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Тростянка</w:t>
      </w:r>
      <w:r w:rsidR="00E64DC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протекает через г. Зеленоградск, в котором ведется активное строительство. </w:t>
      </w:r>
    </w:p>
    <w:p w:rsidR="00C6625F" w:rsidRPr="00432E90" w:rsidRDefault="00421DDB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421DDB" w:rsidRPr="00432E90" w:rsidRDefault="00421DDB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Количественное содержание аммония, нитратов, общего железа, нефти, а также водородный показатель находятся в пределах предельно допустимой концентрации в р. Тростянка и р. Медвежья. </w:t>
      </w:r>
    </w:p>
    <w:p w:rsidR="00407D14" w:rsidRPr="00432E90" w:rsidRDefault="00421DDB" w:rsidP="00432E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Согласно показаниям макроиндекса вода в р.</w:t>
      </w:r>
      <w:r w:rsidR="00407D1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Медвежья имеет довольно сильное загрязнение, </w:t>
      </w:r>
      <w:r w:rsidR="009D1E09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Майера в своем большинстве указывает на 4 класс качества воды. Водоем является грязным.</w:t>
      </w:r>
      <w:r w:rsidR="00407D14"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 Тростянка по показаниям макроиндекса загрязнена сильнее, чем р. Медвежья и находится на границе сильного загрязнения. Индекс Майера р. Тростянка указывает на 4 класс качества воды - грязный водоем.</w:t>
      </w:r>
    </w:p>
    <w:p w:rsidR="00DC793F" w:rsidRPr="00432E90" w:rsidRDefault="00DC793F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93F" w:rsidRPr="00432E90" w:rsidRDefault="00DC793F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EA7D80" w:rsidRPr="00432E90" w:rsidRDefault="00EA7D80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32E90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Т.Я. и др. </w:t>
      </w:r>
      <w:proofErr w:type="spellStart"/>
      <w:r w:rsidRPr="00432E90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и биотестирование – методы познания экологического состояния окружающей среды. – Киров, 2005.</w:t>
      </w:r>
    </w:p>
    <w:p w:rsidR="00DC793F" w:rsidRPr="00432E90" w:rsidRDefault="00DC793F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E90">
        <w:rPr>
          <w:rFonts w:ascii="Times New Roman" w:hAnsi="Times New Roman" w:cs="Times New Roman"/>
          <w:sz w:val="28"/>
          <w:szCs w:val="28"/>
        </w:rPr>
        <w:t>Весман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А.В. Современные проблемы Балтийского моря // Современные научные исследования и инновации. 2012. № 3 [Электронный ресурс]. URL: http://web.snauka.ru/issues/2012/03/10613 (дата обращения: 31.07.2014).</w:t>
      </w:r>
    </w:p>
    <w:p w:rsidR="00DC793F" w:rsidRPr="00432E90" w:rsidRDefault="00DC793F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 xml:space="preserve">Качество морских вод по гидрохимическим показателям. Ежегодник 2009. </w:t>
      </w:r>
      <w:proofErr w:type="spellStart"/>
      <w:r w:rsidRPr="00432E90">
        <w:rPr>
          <w:rFonts w:ascii="Times New Roman" w:hAnsi="Times New Roman" w:cs="Times New Roman"/>
          <w:sz w:val="28"/>
          <w:szCs w:val="28"/>
        </w:rPr>
        <w:t>Коршенко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А.Н., Матвейчук И.Г., Плотникова Т.И., Кирьянов В.С., </w:t>
      </w:r>
      <w:proofErr w:type="spellStart"/>
      <w:r w:rsidRPr="00432E90">
        <w:rPr>
          <w:rFonts w:ascii="Times New Roman" w:hAnsi="Times New Roman" w:cs="Times New Roman"/>
          <w:sz w:val="28"/>
          <w:szCs w:val="28"/>
        </w:rPr>
        <w:t>Крутов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А.Н., Кочетков – Обнинск, ФГУ «Государственный Океанографический Институт имени Н.Н. Зубова», 2010, 194 с.</w:t>
      </w:r>
    </w:p>
    <w:p w:rsidR="00DC793F" w:rsidRPr="00432E90" w:rsidRDefault="00DC793F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Дитрих А.Н., Джабраилова Г.М. Экология морской блохи (</w:t>
      </w:r>
      <w:proofErr w:type="spellStart"/>
      <w:r w:rsidRPr="00432E90">
        <w:rPr>
          <w:rFonts w:ascii="Times New Roman" w:hAnsi="Times New Roman" w:cs="Times New Roman"/>
          <w:sz w:val="28"/>
          <w:szCs w:val="28"/>
          <w:lang w:val="en-US"/>
        </w:rPr>
        <w:t>Talitrus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E90">
        <w:rPr>
          <w:rFonts w:ascii="Times New Roman" w:hAnsi="Times New Roman" w:cs="Times New Roman"/>
          <w:sz w:val="28"/>
          <w:szCs w:val="28"/>
          <w:lang w:val="en-US"/>
        </w:rPr>
        <w:t>saltator</w:t>
      </w:r>
      <w:proofErr w:type="spellEnd"/>
      <w:r w:rsidRPr="00432E90">
        <w:rPr>
          <w:rFonts w:ascii="Times New Roman" w:hAnsi="Times New Roman" w:cs="Times New Roman"/>
          <w:sz w:val="28"/>
          <w:szCs w:val="28"/>
        </w:rPr>
        <w:t xml:space="preserve"> </w:t>
      </w:r>
      <w:r w:rsidRPr="00432E90">
        <w:rPr>
          <w:rFonts w:ascii="Times New Roman" w:hAnsi="Times New Roman" w:cs="Times New Roman"/>
          <w:sz w:val="28"/>
          <w:szCs w:val="28"/>
          <w:lang w:val="en-US"/>
        </w:rPr>
        <w:t>Montagu</w:t>
      </w:r>
      <w:r w:rsidRPr="00432E90">
        <w:rPr>
          <w:rFonts w:ascii="Times New Roman" w:hAnsi="Times New Roman" w:cs="Times New Roman"/>
          <w:sz w:val="28"/>
          <w:szCs w:val="28"/>
        </w:rPr>
        <w:t xml:space="preserve">, 1808) на побережье юго-восточной Балтики. Монография. – Калининград: ФГОУ ВПО «КГТУ», 2007. – 176 </w:t>
      </w:r>
    </w:p>
    <w:p w:rsidR="00DC793F" w:rsidRPr="00432E90" w:rsidRDefault="006A5CA7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10" w:history="1">
        <w:r w:rsidR="00EA7D80" w:rsidRPr="00432E90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https://dic.academic.ru/dic.nsf/ruwiki/138986</w:t>
        </w:r>
      </w:hyperlink>
    </w:p>
    <w:p w:rsidR="00EA7D80" w:rsidRPr="00432E90" w:rsidRDefault="006A5CA7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11" w:history="1">
        <w:r w:rsidR="00EA7D80" w:rsidRPr="00432E90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https://monographies.ru/ru/book/section?id=2252</w:t>
        </w:r>
      </w:hyperlink>
    </w:p>
    <w:p w:rsidR="00EA7D80" w:rsidRPr="00432E90" w:rsidRDefault="00EA7D80" w:rsidP="00432E90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</w:rPr>
        <w:t> </w:t>
      </w:r>
      <w:hyperlink r:id="rId12" w:history="1">
        <w:r w:rsidRPr="00432E90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http://www.ecosystema.ru</w:t>
        </w:r>
      </w:hyperlink>
    </w:p>
    <w:p w:rsidR="00EA7D80" w:rsidRPr="00432E90" w:rsidRDefault="00EA7D80" w:rsidP="00432E90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C793F" w:rsidRPr="00432E90" w:rsidRDefault="00DC793F" w:rsidP="00432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Pr="00432E90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</w:p>
    <w:p w:rsidR="003F604B" w:rsidRPr="00432E90" w:rsidRDefault="003F604B" w:rsidP="003F604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3F604B" w:rsidRPr="00432E90" w:rsidRDefault="003F604B" w:rsidP="003F60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04B" w:rsidRPr="00432E90" w:rsidRDefault="003F604B" w:rsidP="003F60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27274" wp14:editId="187D7847">
                <wp:simplePos x="0" y="0"/>
                <wp:positionH relativeFrom="column">
                  <wp:posOffset>3482340</wp:posOffset>
                </wp:positionH>
                <wp:positionV relativeFrom="paragraph">
                  <wp:posOffset>3042285</wp:posOffset>
                </wp:positionV>
                <wp:extent cx="228600" cy="1905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274.2pt;margin-top:239.55pt;width:18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V0pQIAALAFAAAOAAAAZHJzL2Uyb0RvYy54bWysVMFu2zAMvQ/YPwi6r3aCtGuDOkXWosOA&#10;og3WDj0rshQLkEVNUuJkH7NvGHbdT+STRsmOky7FDsMuMimST+Qzycurda3JSjivwBR0cJJTIgyH&#10;UplFQb883b47p8QHZkqmwYiCboSnV5O3by4bOxZDqECXwhEEMX7c2IJWIdhxlnleiZr5E7DCoFGC&#10;q1lA1S2y0rEG0WudDfP8LGvAldYBF97j7U1rpJOEL6Xg4UFKLwLRBcXcQjpdOufxzCaXbLxwzFaK&#10;d2mwf8iiZsrgoz3UDQuMLJ06gqoVd+BBhhMOdQZSKi5SDVjNIP+jmseKWZFqQXK87Wny/w+W369m&#10;jqgS/92AEsNq/Efb79uf2x/bXwSvkJ/G+jG6PdqZ6zSPYix2LV0dv1gGWSdONz2nYh0Ix8vh8Pws&#10;R+Y5mgYX+SnKiJLtg63z4aOAmkShoEJrZX2smo3Z6s6H1nvnFa89aFXeKq2TEjtFXGtHVgz/8XyR&#10;ckb8F17aHAe6xbwPy/MPmFqX2UEk4sTQLHLQVp2ksNEiAmrzWUhkL9aZMk59u8+GcS5MGLSmipWi&#10;TRJJ6GnoIxIpCTAiSyyvx+4AXla6w2756fxjqEht3wfnf0usDe4j0stgQh9cKwPuNQCNVXUvt/47&#10;klpqIktzKDfYWw7aofOW3yr8xXfMhxlzOGXYFbg5wgMeUkNTUOgkSipw3167j/7Y/GilpMGpLaj/&#10;umROUKI/GRyLi8FoFMc8KaPT90NU3KFlfmgxy/oasGmw8zG7JEb/oHeidFA/44KZxlfRxAzHtwvK&#10;g9sp16HdJriiuJhOkxuOtmXhzjxaHsEjq7F/n9bPzNmuzwMOyD3sJvyo11vfGGlgugwgVRqEPa8d&#10;37gWUuN0KyzunUM9ee0X7eQ3AAAA//8DAFBLAwQUAAYACAAAACEAEhXwruAAAAALAQAADwAAAGRy&#10;cy9kb3ducmV2LnhtbEyPQU+DQBCF7yb+h82YeLNLDVhElsa0MTTx1FLvW3YEUnaWsNuC/nrHk95m&#10;3nt5802+nm0vrjj6zpGC5SICgVQ701Gj4Fi9PaQgfNBkdO8IFXyhh3Vxe5PrzLiJ9ng9hEZwCflM&#10;K2hDGDIpfd2i1X7hBiT2Pt1odeB1bKQZ9cTltpePUfQkre6IL7R6wE2L9flwsQpsOScf3+/Vbnve&#10;r467zbaspqZU6v5ufn0BEXAOf2H4xWd0KJjp5C5kvOgVJHEac1RBvHpeguBEksasnHiIWJFFLv//&#10;UPwAAAD//wMAUEsBAi0AFAAGAAgAAAAhALaDOJL+AAAA4QEAABMAAAAAAAAAAAAAAAAAAAAAAFtD&#10;b250ZW50X1R5cGVzXS54bWxQSwECLQAUAAYACAAAACEAOP0h/9YAAACUAQAACwAAAAAAAAAAAAAA&#10;AAAvAQAAX3JlbHMvLnJlbHNQSwECLQAUAAYACAAAACEAd+1VdKUCAACwBQAADgAAAAAAAAAAAAAA&#10;AAAuAgAAZHJzL2Uyb0RvYy54bWxQSwECLQAUAAYACAAAACEAEhXwruAAAAALAQAADwAAAAAAAAAA&#10;AAAAAAD/BAAAZHJzL2Rvd25yZXYueG1sUEsFBgAAAAAEAAQA8wAAAAwGAAAAAA==&#10;" fillcolor="white [3212]" strokecolor="#00b050" strokeweight="2pt"/>
            </w:pict>
          </mc:Fallback>
        </mc:AlternateContent>
      </w:r>
      <w:r w:rsidRPr="00432E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BEEBF" wp14:editId="4D82DCA5">
                <wp:simplePos x="0" y="0"/>
                <wp:positionH relativeFrom="column">
                  <wp:posOffset>2025015</wp:posOffset>
                </wp:positionH>
                <wp:positionV relativeFrom="paragraph">
                  <wp:posOffset>3042285</wp:posOffset>
                </wp:positionV>
                <wp:extent cx="228600" cy="1905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59.45pt;margin-top:239.55pt;width:1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V7owIAALAFAAAOAAAAZHJzL2Uyb0RvYy54bWysVM1u2zAMvg/YOwi6r7bTn7VBnSJI0WFA&#10;0RZrh54VWYoFyKImKXGyh9kzDLvuJfJIo2THaZdhh2EXmRTJT+RnkpdX60aTlXBegSlpcZRTIgyH&#10;SplFST8/3bw7p8QHZiqmwYiSboSnV5O3by5bOxYjqEFXwhEEMX7c2pLWIdhxlnlei4b5I7DCoFGC&#10;a1hA1S2yyrEW0RudjfL8LGvBVdYBF97j7XVnpJOEL6Xg4V5KLwLRJcXcQjpdOufxzCaXbLxwzNaK&#10;92mwf8iiYcrgowPUNQuMLJ06gGoUd+BBhiMOTQZSKi5SDVhNkf9WzWPNrEi1IDneDjT5/wfL71YP&#10;jqgK/x3SY1iD/2j7bftj+337k+AV8tNaP0a3R/vges2jGItdS9fEL5ZB1onTzcCpWAfC8XI0Oj/L&#10;EZqjqbjIT1FGlGwfbJ0PHwQ0JAolFVor62PVbMxWtz503juveO1Bq+pGaZ2U2Cliph1ZMfzH80XR&#10;47/y0uYw0C3mQ1ieHx/PZoeRmGcMzSIHXdVJChstIqA2n4RE9mKdKePUt/tsGOfChKIz1awSXZJI&#10;wkDDEJFISYARWWJ5A3YP8LrSHXbHT+8fQ0Vq+yE4/1tiXfAQkV4GE4bgRhlwfwLQWFX/cue/I6mj&#10;JrI0h2qDveWgGzpv+Y3CX3zLfHhgDqcMuwI3R7jHQ2poSwq9REkN7uuf7qM/Nj9aKWlxakvqvyyZ&#10;E5TojwbH4qI4OYljnpST0/cjVNxLy/ylxSybGWDTFLijLE9i9A96J0oHzTMumGl8FU3McHy7pDy4&#10;nTIL3TbBFcXFdJrccLQtC7fm0fIIHlmN/fu0fmbO9n0ecEDuYDfhB73e+cZIA9NlAKnSIOx57fnG&#10;tZAap19hce+81JPXftFOfgEAAP//AwBQSwMEFAAGAAgAAAAhADUNmJXdAAAACwEAAA8AAABkcnMv&#10;ZG93bnJldi54bWxMj8tOxDAMRfdI/ENkJHZM2nnAtNQdISRYISQKH5BpQtMhcaom05a/x6xg6euj&#10;6+PqsHgnJjPGPhBCvspAGGqD7qlD+Hh/utmDiEmRVi6QQfg2EQ715UWlSh1mejNTkzrBJRRLhWBT&#10;GkopY2uNV3EVBkO8+wyjV4nHsZN6VDOXeyfXWXYrveqJL1g1mEdr2q/m7BHINnYdnX55nYqTKubT&#10;s4+dR7y+Wh7uQSSzpD8YfvVZHWp2OoYz6SgcwibfF4wibO+KHAQTm92WkyPCLuNE1pX8/0P9AwAA&#10;//8DAFBLAQItABQABgAIAAAAIQC2gziS/gAAAOEBAAATAAAAAAAAAAAAAAAAAAAAAABbQ29udGVu&#10;dF9UeXBlc10ueG1sUEsBAi0AFAAGAAgAAAAhADj9If/WAAAAlAEAAAsAAAAAAAAAAAAAAAAALwEA&#10;AF9yZWxzLy5yZWxzUEsBAi0AFAAGAAgAAAAhAAEDVXujAgAAsAUAAA4AAAAAAAAAAAAAAAAALgIA&#10;AGRycy9lMm9Eb2MueG1sUEsBAi0AFAAGAAgAAAAhADUNmJXdAAAACwEAAA8AAAAAAAAAAAAAAAAA&#10;/QQAAGRycy9kb3ducmV2LnhtbFBLBQYAAAAABAAEAPMAAAAHBgAAAAA=&#10;" fillcolor="white [3212]" strokecolor="#03c" strokeweight="2pt"/>
            </w:pict>
          </mc:Fallback>
        </mc:AlternateContent>
      </w:r>
      <w:r w:rsidRPr="00432E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775D1" wp14:editId="264F9E88">
            <wp:extent cx="5940425" cy="2901031"/>
            <wp:effectExtent l="0" t="0" r="3175" b="0"/>
            <wp:docPr id="9" name="Рисунок 9" descr="H:\работа\2017-2018\Исследовательская\Зелик\карта с проб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2017-2018\Исследовательская\Зелик\карта с пробам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1. Точки сбора проб:        </w:t>
      </w:r>
      <w:proofErr w:type="gramStart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Межвечья</w:t>
      </w:r>
      <w:proofErr w:type="spellEnd"/>
      <w:r w:rsidRPr="00432E9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- р. Тростянка</w:t>
      </w:r>
    </w:p>
    <w:p w:rsidR="003F604B" w:rsidRPr="00432E90" w:rsidRDefault="003F604B" w:rsidP="003F604B">
      <w:pPr>
        <w:pStyle w:val="1"/>
        <w:spacing w:line="36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432E90">
        <w:rPr>
          <w:rFonts w:ascii="Times New Roman" w:hAnsi="Times New Roman" w:cs="Times New Roman"/>
          <w:b w:val="0"/>
          <w:color w:val="auto"/>
        </w:rPr>
        <w:t>Приложение 2</w:t>
      </w:r>
    </w:p>
    <w:p w:rsidR="003F604B" w:rsidRPr="00432E90" w:rsidRDefault="003F604B" w:rsidP="003F604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Таблица 3</w:t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 xml:space="preserve">                    Количественное содержание химических веществ</w:t>
      </w: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6"/>
        <w:gridCol w:w="921"/>
        <w:gridCol w:w="921"/>
        <w:gridCol w:w="921"/>
        <w:gridCol w:w="922"/>
        <w:gridCol w:w="921"/>
        <w:gridCol w:w="781"/>
        <w:gridCol w:w="992"/>
        <w:gridCol w:w="709"/>
        <w:gridCol w:w="921"/>
        <w:gridCol w:w="780"/>
      </w:tblGrid>
      <w:tr w:rsidR="003F604B" w:rsidRPr="00432E90" w:rsidTr="000E5914">
        <w:trPr>
          <w:trHeight w:val="413"/>
        </w:trPr>
        <w:tc>
          <w:tcPr>
            <w:tcW w:w="1276" w:type="dxa"/>
            <w:vMerge w:val="restart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Объекты исследования</w:t>
            </w:r>
          </w:p>
        </w:tc>
        <w:tc>
          <w:tcPr>
            <w:tcW w:w="1842" w:type="dxa"/>
            <w:gridSpan w:val="2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Нитраты, мг/л</w:t>
            </w:r>
          </w:p>
        </w:tc>
        <w:tc>
          <w:tcPr>
            <w:tcW w:w="1843" w:type="dxa"/>
            <w:gridSpan w:val="2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Железо, мг/л</w:t>
            </w:r>
          </w:p>
        </w:tc>
        <w:tc>
          <w:tcPr>
            <w:tcW w:w="1702" w:type="dxa"/>
            <w:gridSpan w:val="2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Аммоний, мг/л</w:t>
            </w:r>
          </w:p>
        </w:tc>
        <w:tc>
          <w:tcPr>
            <w:tcW w:w="1701" w:type="dxa"/>
            <w:gridSpan w:val="2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Нефть, мг/л</w:t>
            </w:r>
          </w:p>
        </w:tc>
        <w:tc>
          <w:tcPr>
            <w:tcW w:w="1701" w:type="dxa"/>
            <w:gridSpan w:val="2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</w:tr>
      <w:tr w:rsidR="003F604B" w:rsidRPr="00432E90" w:rsidTr="000E5914">
        <w:trPr>
          <w:trHeight w:val="412"/>
        </w:trPr>
        <w:tc>
          <w:tcPr>
            <w:tcW w:w="1276" w:type="dxa"/>
            <w:vMerge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Точка сбора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знач.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Повторность</w:t>
            </w:r>
          </w:p>
        </w:tc>
        <w:tc>
          <w:tcPr>
            <w:tcW w:w="92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знач.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Точка сбора</w:t>
            </w:r>
          </w:p>
        </w:tc>
        <w:tc>
          <w:tcPr>
            <w:tcW w:w="78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знач.</w:t>
            </w: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Точка сбора</w:t>
            </w:r>
          </w:p>
        </w:tc>
        <w:tc>
          <w:tcPr>
            <w:tcW w:w="709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знач</w:t>
            </w:r>
            <w:proofErr w:type="spellEnd"/>
            <w:proofErr w:type="gramEnd"/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Точка сбора</w:t>
            </w:r>
          </w:p>
        </w:tc>
        <w:tc>
          <w:tcPr>
            <w:tcW w:w="780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знач.</w:t>
            </w: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 w:val="restart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Медвежья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1.   30</w:t>
            </w:r>
          </w:p>
        </w:tc>
        <w:tc>
          <w:tcPr>
            <w:tcW w:w="921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1.  0,2</w:t>
            </w:r>
          </w:p>
        </w:tc>
        <w:tc>
          <w:tcPr>
            <w:tcW w:w="922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1.  0,5</w:t>
            </w:r>
          </w:p>
        </w:tc>
        <w:tc>
          <w:tcPr>
            <w:tcW w:w="781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1.  0</w:t>
            </w:r>
          </w:p>
        </w:tc>
        <w:tc>
          <w:tcPr>
            <w:tcW w:w="709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1.  7,5</w:t>
            </w:r>
          </w:p>
        </w:tc>
        <w:tc>
          <w:tcPr>
            <w:tcW w:w="780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2.   40</w:t>
            </w:r>
          </w:p>
        </w:tc>
        <w:tc>
          <w:tcPr>
            <w:tcW w:w="92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2. 0,05</w:t>
            </w:r>
          </w:p>
        </w:tc>
        <w:tc>
          <w:tcPr>
            <w:tcW w:w="922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2.  0,5</w:t>
            </w:r>
          </w:p>
        </w:tc>
        <w:tc>
          <w:tcPr>
            <w:tcW w:w="78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2.  0</w:t>
            </w:r>
          </w:p>
        </w:tc>
        <w:tc>
          <w:tcPr>
            <w:tcW w:w="709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2.  7,5</w:t>
            </w:r>
          </w:p>
        </w:tc>
        <w:tc>
          <w:tcPr>
            <w:tcW w:w="780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3.   35</w:t>
            </w:r>
          </w:p>
        </w:tc>
        <w:tc>
          <w:tcPr>
            <w:tcW w:w="92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3.  0,1</w:t>
            </w:r>
          </w:p>
        </w:tc>
        <w:tc>
          <w:tcPr>
            <w:tcW w:w="922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3.  0,5</w:t>
            </w:r>
          </w:p>
        </w:tc>
        <w:tc>
          <w:tcPr>
            <w:tcW w:w="78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3.  0</w:t>
            </w:r>
          </w:p>
        </w:tc>
        <w:tc>
          <w:tcPr>
            <w:tcW w:w="709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3.  7,5</w:t>
            </w:r>
          </w:p>
        </w:tc>
        <w:tc>
          <w:tcPr>
            <w:tcW w:w="780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 w:val="restart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Тростян</w:t>
            </w:r>
            <w:r w:rsidRPr="00432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1.    3</w:t>
            </w:r>
          </w:p>
        </w:tc>
        <w:tc>
          <w:tcPr>
            <w:tcW w:w="921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1.  0,2</w:t>
            </w:r>
          </w:p>
        </w:tc>
        <w:tc>
          <w:tcPr>
            <w:tcW w:w="922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1. 0,25</w:t>
            </w:r>
          </w:p>
        </w:tc>
        <w:tc>
          <w:tcPr>
            <w:tcW w:w="781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1.  0</w:t>
            </w:r>
          </w:p>
        </w:tc>
        <w:tc>
          <w:tcPr>
            <w:tcW w:w="709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1.  6,5</w:t>
            </w:r>
          </w:p>
        </w:tc>
        <w:tc>
          <w:tcPr>
            <w:tcW w:w="780" w:type="dxa"/>
            <w:vMerge w:val="restart"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2.    3</w:t>
            </w:r>
          </w:p>
        </w:tc>
        <w:tc>
          <w:tcPr>
            <w:tcW w:w="92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2.  0,2</w:t>
            </w:r>
          </w:p>
        </w:tc>
        <w:tc>
          <w:tcPr>
            <w:tcW w:w="922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2. 0,7</w:t>
            </w:r>
          </w:p>
        </w:tc>
        <w:tc>
          <w:tcPr>
            <w:tcW w:w="78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2.  0</w:t>
            </w:r>
          </w:p>
        </w:tc>
        <w:tc>
          <w:tcPr>
            <w:tcW w:w="709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2.  4,5</w:t>
            </w:r>
          </w:p>
        </w:tc>
        <w:tc>
          <w:tcPr>
            <w:tcW w:w="780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04B" w:rsidRPr="00432E90" w:rsidTr="000E5914">
        <w:trPr>
          <w:trHeight w:val="185"/>
        </w:trPr>
        <w:tc>
          <w:tcPr>
            <w:tcW w:w="1276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3.    1</w:t>
            </w:r>
          </w:p>
        </w:tc>
        <w:tc>
          <w:tcPr>
            <w:tcW w:w="92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3.  0,2</w:t>
            </w:r>
          </w:p>
        </w:tc>
        <w:tc>
          <w:tcPr>
            <w:tcW w:w="922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3. 2,0</w:t>
            </w:r>
          </w:p>
        </w:tc>
        <w:tc>
          <w:tcPr>
            <w:tcW w:w="781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3.  0</w:t>
            </w:r>
          </w:p>
        </w:tc>
        <w:tc>
          <w:tcPr>
            <w:tcW w:w="709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3F604B" w:rsidRPr="00432E90" w:rsidRDefault="003F604B" w:rsidP="000E5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E90">
              <w:rPr>
                <w:rFonts w:ascii="Times New Roman" w:hAnsi="Times New Roman" w:cs="Times New Roman"/>
                <w:sz w:val="28"/>
                <w:szCs w:val="28"/>
              </w:rPr>
              <w:t>3.  7</w:t>
            </w:r>
          </w:p>
        </w:tc>
        <w:tc>
          <w:tcPr>
            <w:tcW w:w="780" w:type="dxa"/>
            <w:vMerge/>
          </w:tcPr>
          <w:p w:rsidR="003F604B" w:rsidRPr="00432E90" w:rsidRDefault="003F604B" w:rsidP="000E59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604B" w:rsidRPr="00432E90" w:rsidRDefault="003F604B" w:rsidP="003F604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18572" wp14:editId="1EE94F8A">
            <wp:extent cx="5940425" cy="3341489"/>
            <wp:effectExtent l="0" t="0" r="3175" b="0"/>
            <wp:docPr id="2" name="Рисунок 2" descr="H:\работа\2017-2018\Исследовательская\Зелик\фото\20170127_15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2017-2018\Исследовательская\Зелик\фото\20170127_15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 xml:space="preserve">Рис.4. Количественное содержание нитратов в р. </w:t>
      </w:r>
      <w:proofErr w:type="gramStart"/>
      <w:r w:rsidRPr="00432E90">
        <w:rPr>
          <w:rFonts w:ascii="Times New Roman" w:hAnsi="Times New Roman" w:cs="Times New Roman"/>
          <w:sz w:val="28"/>
          <w:szCs w:val="28"/>
        </w:rPr>
        <w:t>Медвежья</w:t>
      </w:r>
      <w:proofErr w:type="gramEnd"/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D34E6" wp14:editId="65035E9A">
            <wp:extent cx="5842000" cy="3286125"/>
            <wp:effectExtent l="0" t="0" r="6350" b="9525"/>
            <wp:docPr id="4" name="Рисунок 4" descr="F:\работа\2017-2018\Исследовательская\Зелик\фото\20170127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2017-2018\Исследовательская\Зелик\фото\20170127_15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86" cy="32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Рис.5. Количественное определение аммония в</w:t>
      </w:r>
      <w:proofErr w:type="gramStart"/>
      <w:r w:rsidRPr="00432E9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32E90">
        <w:rPr>
          <w:rFonts w:ascii="Times New Roman" w:hAnsi="Times New Roman" w:cs="Times New Roman"/>
          <w:sz w:val="28"/>
          <w:szCs w:val="28"/>
        </w:rPr>
        <w:t>Тростянка</w:t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512E4F" wp14:editId="3E6A69E9">
            <wp:extent cx="5350933" cy="3009900"/>
            <wp:effectExtent l="0" t="0" r="2540" b="0"/>
            <wp:docPr id="3" name="Рисунок 3" descr="F:\работа\2017-2018\Исследовательская\Зелик\фото\20170127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2017-2018\Исследовательская\Зелик\фото\20170127_155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32" cy="30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 xml:space="preserve">Рис.6. Количественное определение аммония в р. </w:t>
      </w:r>
      <w:proofErr w:type="gramStart"/>
      <w:r w:rsidRPr="00432E90">
        <w:rPr>
          <w:rFonts w:ascii="Times New Roman" w:hAnsi="Times New Roman" w:cs="Times New Roman"/>
          <w:sz w:val="28"/>
          <w:szCs w:val="28"/>
        </w:rPr>
        <w:t>Медвежья</w:t>
      </w:r>
      <w:proofErr w:type="gramEnd"/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DE7FD" wp14:editId="7A698E4D">
            <wp:extent cx="5940425" cy="3341489"/>
            <wp:effectExtent l="0" t="0" r="3175" b="0"/>
            <wp:docPr id="6" name="Рисунок 6" descr="F:\работа\2017-2018\Исследовательская\Зелик\фото\20171117_12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2017-2018\Исследовательская\Зелик\фото\20171117_124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 xml:space="preserve">Рис.7. Забор проб р. </w:t>
      </w:r>
      <w:proofErr w:type="gramStart"/>
      <w:r w:rsidRPr="00432E90">
        <w:rPr>
          <w:rFonts w:ascii="Times New Roman" w:hAnsi="Times New Roman" w:cs="Times New Roman"/>
          <w:sz w:val="28"/>
          <w:szCs w:val="28"/>
        </w:rPr>
        <w:t>Медвежья</w:t>
      </w:r>
      <w:proofErr w:type="gramEnd"/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85256C" wp14:editId="14F9670B">
            <wp:extent cx="4010025" cy="2255639"/>
            <wp:effectExtent l="0" t="0" r="0" b="0"/>
            <wp:docPr id="7" name="Рисунок 7" descr="F:\работа\2017-2018\Исследовательская\Зелик\фото\20171117_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2017-2018\Исследовательская\Зелик\фото\20171117_134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2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t>Рис.8. Камеральная обработка собранного материала</w:t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2DD6C" wp14:editId="06255C91">
            <wp:extent cx="4086225" cy="2298502"/>
            <wp:effectExtent l="0" t="0" r="0" b="6985"/>
            <wp:docPr id="8" name="Рисунок 8" descr="F:\работа\2017-2018\Исследовательская\Зелик\фото\20171117_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2017-2018\Исследовательская\Зелик\фото\20171117_135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22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Рис.9. Планария</w:t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CE277" wp14:editId="2068ED7D">
            <wp:extent cx="4248150" cy="2389584"/>
            <wp:effectExtent l="0" t="0" r="0" b="0"/>
            <wp:docPr id="12" name="Рисунок 12" descr="F:\работа\2017-2018\Исследовательская\Зелик\фото\20171117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2017-2018\Исследовательская\Зелик\фото\20171117_134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23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4B" w:rsidRPr="00432E90" w:rsidRDefault="003F604B" w:rsidP="003F6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E90">
        <w:rPr>
          <w:rFonts w:ascii="Times New Roman" w:hAnsi="Times New Roman" w:cs="Times New Roman"/>
          <w:sz w:val="28"/>
          <w:szCs w:val="28"/>
        </w:rPr>
        <w:t>Рис.10. Пиявка</w:t>
      </w:r>
    </w:p>
    <w:p w:rsidR="003F604B" w:rsidRDefault="003F604B" w:rsidP="003F604B"/>
    <w:p w:rsidR="00DC793F" w:rsidRPr="00432E90" w:rsidRDefault="00DC793F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93F" w:rsidRPr="00432E90" w:rsidRDefault="00DC793F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839" w:rsidRPr="00432E90" w:rsidRDefault="004E5839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839" w:rsidRPr="00432E90" w:rsidRDefault="004E5839" w:rsidP="00432E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E5839" w:rsidRPr="00432E90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CA7" w:rsidRDefault="006A5CA7" w:rsidP="004E5839">
      <w:pPr>
        <w:spacing w:after="0" w:line="240" w:lineRule="auto"/>
      </w:pPr>
      <w:r>
        <w:separator/>
      </w:r>
    </w:p>
  </w:endnote>
  <w:endnote w:type="continuationSeparator" w:id="0">
    <w:p w:rsidR="006A5CA7" w:rsidRDefault="006A5CA7" w:rsidP="004E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217567"/>
      <w:docPartObj>
        <w:docPartGallery w:val="Page Numbers (Bottom of Page)"/>
        <w:docPartUnique/>
      </w:docPartObj>
    </w:sdtPr>
    <w:sdtEndPr/>
    <w:sdtContent>
      <w:p w:rsidR="004E5839" w:rsidRDefault="004E583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04B">
          <w:rPr>
            <w:noProof/>
          </w:rPr>
          <w:t>8</w:t>
        </w:r>
        <w:r>
          <w:fldChar w:fldCharType="end"/>
        </w:r>
      </w:p>
    </w:sdtContent>
  </w:sdt>
  <w:p w:rsidR="004E5839" w:rsidRDefault="004E583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CA7" w:rsidRDefault="006A5CA7" w:rsidP="004E5839">
      <w:pPr>
        <w:spacing w:after="0" w:line="240" w:lineRule="auto"/>
      </w:pPr>
      <w:r>
        <w:separator/>
      </w:r>
    </w:p>
  </w:footnote>
  <w:footnote w:type="continuationSeparator" w:id="0">
    <w:p w:rsidR="006A5CA7" w:rsidRDefault="006A5CA7" w:rsidP="004E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0579"/>
    <w:multiLevelType w:val="hybridMultilevel"/>
    <w:tmpl w:val="53508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02EBE"/>
    <w:multiLevelType w:val="hybridMultilevel"/>
    <w:tmpl w:val="C70A4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44617"/>
    <w:multiLevelType w:val="hybridMultilevel"/>
    <w:tmpl w:val="DE5AB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D5C90"/>
    <w:multiLevelType w:val="hybridMultilevel"/>
    <w:tmpl w:val="517A3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97"/>
    <w:rsid w:val="00062B27"/>
    <w:rsid w:val="00070065"/>
    <w:rsid w:val="000D5739"/>
    <w:rsid w:val="001315C8"/>
    <w:rsid w:val="00171E3B"/>
    <w:rsid w:val="00182217"/>
    <w:rsid w:val="0018735E"/>
    <w:rsid w:val="001D45E7"/>
    <w:rsid w:val="00285A38"/>
    <w:rsid w:val="003041E9"/>
    <w:rsid w:val="003223D7"/>
    <w:rsid w:val="00336663"/>
    <w:rsid w:val="00340DC7"/>
    <w:rsid w:val="003A41B3"/>
    <w:rsid w:val="003A70BD"/>
    <w:rsid w:val="003D696E"/>
    <w:rsid w:val="003F604B"/>
    <w:rsid w:val="00407D14"/>
    <w:rsid w:val="00421DDB"/>
    <w:rsid w:val="00432E90"/>
    <w:rsid w:val="00445C99"/>
    <w:rsid w:val="004E0C57"/>
    <w:rsid w:val="004E0EEB"/>
    <w:rsid w:val="004E5839"/>
    <w:rsid w:val="0051139E"/>
    <w:rsid w:val="005351F5"/>
    <w:rsid w:val="0055258E"/>
    <w:rsid w:val="005644CE"/>
    <w:rsid w:val="005C7999"/>
    <w:rsid w:val="005F0347"/>
    <w:rsid w:val="005F1B8A"/>
    <w:rsid w:val="00611A0C"/>
    <w:rsid w:val="00620116"/>
    <w:rsid w:val="00662A61"/>
    <w:rsid w:val="00674934"/>
    <w:rsid w:val="006A5CA7"/>
    <w:rsid w:val="006A6F27"/>
    <w:rsid w:val="00732ABA"/>
    <w:rsid w:val="00790140"/>
    <w:rsid w:val="007A1F05"/>
    <w:rsid w:val="0080679E"/>
    <w:rsid w:val="008077B7"/>
    <w:rsid w:val="00876E51"/>
    <w:rsid w:val="00891D16"/>
    <w:rsid w:val="008A787A"/>
    <w:rsid w:val="008B0DD3"/>
    <w:rsid w:val="00933438"/>
    <w:rsid w:val="00972C33"/>
    <w:rsid w:val="00974A11"/>
    <w:rsid w:val="009C4F90"/>
    <w:rsid w:val="009D1E09"/>
    <w:rsid w:val="00A6533F"/>
    <w:rsid w:val="00A80E02"/>
    <w:rsid w:val="00AA1A40"/>
    <w:rsid w:val="00AF1326"/>
    <w:rsid w:val="00B1616D"/>
    <w:rsid w:val="00B7110C"/>
    <w:rsid w:val="00B87F2D"/>
    <w:rsid w:val="00BA78E8"/>
    <w:rsid w:val="00BB2B33"/>
    <w:rsid w:val="00BD62F6"/>
    <w:rsid w:val="00BF73D6"/>
    <w:rsid w:val="00C01A97"/>
    <w:rsid w:val="00C32033"/>
    <w:rsid w:val="00C6625F"/>
    <w:rsid w:val="00CC1D59"/>
    <w:rsid w:val="00CE4906"/>
    <w:rsid w:val="00D20837"/>
    <w:rsid w:val="00D340E4"/>
    <w:rsid w:val="00D81408"/>
    <w:rsid w:val="00D85356"/>
    <w:rsid w:val="00DC793F"/>
    <w:rsid w:val="00DE3DD7"/>
    <w:rsid w:val="00E14990"/>
    <w:rsid w:val="00E277B7"/>
    <w:rsid w:val="00E53914"/>
    <w:rsid w:val="00E5730B"/>
    <w:rsid w:val="00E64DC9"/>
    <w:rsid w:val="00E72708"/>
    <w:rsid w:val="00E82A13"/>
    <w:rsid w:val="00EA02D0"/>
    <w:rsid w:val="00EA50DC"/>
    <w:rsid w:val="00EA7D80"/>
    <w:rsid w:val="00EF7F20"/>
    <w:rsid w:val="00F063A2"/>
    <w:rsid w:val="00F07AE1"/>
    <w:rsid w:val="00F110CA"/>
    <w:rsid w:val="00F5129B"/>
    <w:rsid w:val="00FA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11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5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5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70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7A1F05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4E5839"/>
  </w:style>
  <w:style w:type="paragraph" w:styleId="a9">
    <w:name w:val="header"/>
    <w:basedOn w:val="a"/>
    <w:link w:val="aa"/>
    <w:uiPriority w:val="99"/>
    <w:unhideWhenUsed/>
    <w:rsid w:val="004E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5839"/>
  </w:style>
  <w:style w:type="paragraph" w:styleId="ab">
    <w:name w:val="footer"/>
    <w:basedOn w:val="a"/>
    <w:link w:val="ac"/>
    <w:uiPriority w:val="99"/>
    <w:unhideWhenUsed/>
    <w:rsid w:val="004E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5839"/>
  </w:style>
  <w:style w:type="character" w:styleId="ad">
    <w:name w:val="Hyperlink"/>
    <w:basedOn w:val="a0"/>
    <w:uiPriority w:val="99"/>
    <w:unhideWhenUsed/>
    <w:rsid w:val="00EA7D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11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5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5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70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7A1F05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4E5839"/>
  </w:style>
  <w:style w:type="paragraph" w:styleId="a9">
    <w:name w:val="header"/>
    <w:basedOn w:val="a"/>
    <w:link w:val="aa"/>
    <w:uiPriority w:val="99"/>
    <w:unhideWhenUsed/>
    <w:rsid w:val="004E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5839"/>
  </w:style>
  <w:style w:type="paragraph" w:styleId="ab">
    <w:name w:val="footer"/>
    <w:basedOn w:val="a"/>
    <w:link w:val="ac"/>
    <w:uiPriority w:val="99"/>
    <w:unhideWhenUsed/>
    <w:rsid w:val="004E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5839"/>
  </w:style>
  <w:style w:type="character" w:styleId="ad">
    <w:name w:val="Hyperlink"/>
    <w:basedOn w:val="a0"/>
    <w:uiPriority w:val="99"/>
    <w:unhideWhenUsed/>
    <w:rsid w:val="00EA7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ecosystema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nographies.ru/ru/book/section?id=225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dic.academic.ru/dic.nsf/ruwiki/138986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р.Медвежья</c:v>
          </c:tx>
          <c:spPr>
            <a:solidFill>
              <a:srgbClr val="0070C0"/>
            </a:solidFill>
          </c:spPr>
          <c:invertIfNegative val="0"/>
          <c:cat>
            <c:strRef>
              <c:f>Лист1!$B$2:$F$2</c:f>
              <c:strCache>
                <c:ptCount val="5"/>
                <c:pt idx="0">
                  <c:v>Нитраты</c:v>
                </c:pt>
                <c:pt idx="1">
                  <c:v>Железо</c:v>
                </c:pt>
                <c:pt idx="2">
                  <c:v>Аммоний</c:v>
                </c:pt>
                <c:pt idx="3">
                  <c:v>Нефть</c:v>
                </c:pt>
                <c:pt idx="4">
                  <c:v>рН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35</c:v>
                </c:pt>
                <c:pt idx="1">
                  <c:v>0.12</c:v>
                </c:pt>
                <c:pt idx="2">
                  <c:v>0.5</c:v>
                </c:pt>
                <c:pt idx="3">
                  <c:v>0</c:v>
                </c:pt>
                <c:pt idx="4">
                  <c:v>7.5</c:v>
                </c:pt>
              </c:numCache>
            </c:numRef>
          </c:val>
        </c:ser>
        <c:ser>
          <c:idx val="2"/>
          <c:order val="1"/>
          <c:tx>
            <c:v>р.Тростянка</c:v>
          </c:tx>
          <c:spPr>
            <a:solidFill>
              <a:srgbClr val="00CC00"/>
            </a:solidFill>
          </c:spPr>
          <c:invertIfNegative val="0"/>
          <c:cat>
            <c:strRef>
              <c:f>Лист1!$B$2:$F$2</c:f>
              <c:strCache>
                <c:ptCount val="5"/>
                <c:pt idx="0">
                  <c:v>Нитраты</c:v>
                </c:pt>
                <c:pt idx="1">
                  <c:v>Железо</c:v>
                </c:pt>
                <c:pt idx="2">
                  <c:v>Аммоний</c:v>
                </c:pt>
                <c:pt idx="3">
                  <c:v>Нефть</c:v>
                </c:pt>
                <c:pt idx="4">
                  <c:v>рН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0.2</c:v>
                </c:pt>
                <c:pt idx="2">
                  <c:v>0.9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990464"/>
        <c:axId val="132992000"/>
        <c:axId val="0"/>
      </c:bar3DChart>
      <c:catAx>
        <c:axId val="1329904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992000"/>
        <c:crosses val="autoZero"/>
        <c:auto val="1"/>
        <c:lblAlgn val="ctr"/>
        <c:lblOffset val="100"/>
        <c:noMultiLvlLbl val="0"/>
      </c:catAx>
      <c:valAx>
        <c:axId val="13299200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мг/л</a:t>
                </a:r>
              </a:p>
            </c:rich>
          </c:tx>
          <c:layout>
            <c:manualLayout>
              <c:xMode val="edge"/>
              <c:yMode val="edge"/>
              <c:x val="4.291972878390201E-2"/>
              <c:y val="5.929717118693494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2990464"/>
        <c:crosses val="autoZero"/>
        <c:crossBetween val="between"/>
      </c:valAx>
    </c:plotArea>
    <c:legend>
      <c:legendPos val="r"/>
      <c:overlay val="0"/>
      <c:spPr>
        <a:noFill/>
      </c:spPr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3FE05-43F4-4533-825D-69ECA8C03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12</Pages>
  <Words>1907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50</cp:revision>
  <dcterms:created xsi:type="dcterms:W3CDTF">2017-01-27T19:58:00Z</dcterms:created>
  <dcterms:modified xsi:type="dcterms:W3CDTF">2019-12-16T23:03:00Z</dcterms:modified>
</cp:coreProperties>
</file>